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3711BC" w:rsidRDefault="003711BC" w:rsidP="003711BC">
      <w:pPr>
        <w:jc w:val="center"/>
      </w:pPr>
      <w:r>
        <w:t>Risk Workshops</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3711BC" w:rsidRDefault="003711BC" w:rsidP="003711BC">
      <w:pPr>
        <w:jc w:val="center"/>
      </w:pPr>
      <w:r>
        <w:lastRenderedPageBreak/>
        <w:t>Risk Workshops</w:t>
      </w:r>
    </w:p>
    <w:p w:rsidR="00F3444B" w:rsidRDefault="00F3444B" w:rsidP="00F3444B">
      <w:pPr>
        <w:ind w:firstLine="720"/>
      </w:pPr>
      <w:r>
        <w:t>One of the most effective methods of operating an effective risk management program is having a common pool where an individual can contribute equally to ideas concerning possible risk scenarios (Rosenstock &amp; Stout, 2018). This type of setting comes in the form of a risk workshop. This kind of setting allows individuals in an organization to effectively and extensively contribute to identifying events that are most likely to occur then come up with methods on how to capitalize on them. Therefore, there are numerous merits and demerits associated with the risk workshop.</w:t>
      </w:r>
    </w:p>
    <w:p w:rsidR="00F3444B" w:rsidRDefault="00F3444B" w:rsidP="00F3444B">
      <w:pPr>
        <w:ind w:firstLine="720"/>
      </w:pPr>
      <w:r>
        <w:t xml:space="preserve">The risk workshop is capable of coming up with several possible risks, depending on the nature of the business enterprise and the size of the enterprise (Fraser et al., 2015). Where the workshop comes up with a great number of possible risks that are most likely to occur is one possible scenario. The advantage of this scenario is that the organization is able to come up with a risk map, a document that highlights and prioritizes all the risks. Therefore, proper planning is done, and the necessary resources needed to curb these risks are assigned. On the other hand, too many risks also have their downward side. The process may take too much time in assessing each risk involved, therefore becoming time-consuming and cost ineffective. This process involves several high-rank officials of the organization, and they may require going to secluded areas to conduct the workshops (Rosenstock &amp; Stout, 2018). </w:t>
      </w:r>
    </w:p>
    <w:p w:rsidR="003711BC" w:rsidRDefault="00F3444B" w:rsidP="00F3444B">
      <w:pPr>
        <w:ind w:firstLine="720"/>
      </w:pPr>
      <w:r>
        <w:t xml:space="preserve">Another possible scenario of a risk workshop outcome is the identification of only a small number of risks. This scenario has the major advantage in that there is room for in-depth analysis of each and every risk identified (Fraser et al., 2015). The workshop personnel is, therefore, able to come up with the most effective methods of counteracting the said risks. The disadvantage with this scenario is that from the short list of risks identified; one group </w:t>
      </w:r>
      <w:r>
        <w:lastRenderedPageBreak/>
        <w:t xml:space="preserve">may convince the other that some risks are less demanding than others based on selfish interests (Rosenstock &amp; Stout, 2018). </w:t>
      </w:r>
      <w:r w:rsidR="003711BC" w:rsidRPr="00290A0C">
        <w:t xml:space="preserve"> </w:t>
      </w: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7C7DEC" w:rsidRDefault="007C7DEC" w:rsidP="003711BC">
      <w:pPr>
        <w:jc w:val="center"/>
      </w:pPr>
    </w:p>
    <w:p w:rsidR="003711BC" w:rsidRDefault="003711BC" w:rsidP="003711BC">
      <w:pPr>
        <w:jc w:val="center"/>
      </w:pPr>
      <w:r>
        <w:lastRenderedPageBreak/>
        <w:t>References</w:t>
      </w:r>
    </w:p>
    <w:p w:rsidR="003711BC" w:rsidRPr="00300F24" w:rsidRDefault="003711BC" w:rsidP="003711BC">
      <w:pPr>
        <w:ind w:left="720" w:hanging="720"/>
        <w:rPr>
          <w:rFonts w:eastAsia="Times New Roman"/>
          <w:color w:val="000000"/>
          <w:shd w:val="clear" w:color="auto" w:fill="FFFFFF"/>
        </w:rPr>
      </w:pPr>
      <w:r w:rsidRPr="00300F24">
        <w:rPr>
          <w:rFonts w:eastAsia="Times New Roman"/>
          <w:color w:val="000000"/>
          <w:shd w:val="clear" w:color="auto" w:fill="FFFFFF"/>
        </w:rPr>
        <w:t>Fraser, J. R. S., Narvaez, K., &amp; Simki</w:t>
      </w:r>
      <w:r w:rsidR="007C7DEC">
        <w:rPr>
          <w:rFonts w:eastAsia="Times New Roman"/>
          <w:color w:val="000000"/>
          <w:shd w:val="clear" w:color="auto" w:fill="FFFFFF"/>
        </w:rPr>
        <w:t>ns, B. J. (2015). Implementing E</w:t>
      </w:r>
      <w:r w:rsidRPr="00300F24">
        <w:rPr>
          <w:rFonts w:eastAsia="Times New Roman"/>
          <w:color w:val="000000"/>
          <w:shd w:val="clear" w:color="auto" w:fill="FFFFFF"/>
        </w:rPr>
        <w:t xml:space="preserve">nterprise </w:t>
      </w:r>
      <w:r w:rsidR="007C7DEC">
        <w:rPr>
          <w:rFonts w:eastAsia="Times New Roman"/>
          <w:color w:val="000000"/>
          <w:shd w:val="clear" w:color="auto" w:fill="FFFFFF"/>
        </w:rPr>
        <w:t>Risk M</w:t>
      </w:r>
      <w:r w:rsidRPr="00300F24">
        <w:rPr>
          <w:rFonts w:eastAsia="Times New Roman"/>
          <w:color w:val="000000"/>
          <w:shd w:val="clear" w:color="auto" w:fill="FFFFFF"/>
        </w:rPr>
        <w:t>anagement: Case studies and best practices. Hoboken, N.J: Wiley.</w:t>
      </w:r>
    </w:p>
    <w:p w:rsidR="003711BC" w:rsidRPr="00300F24" w:rsidRDefault="003711BC" w:rsidP="003711BC">
      <w:pPr>
        <w:ind w:left="720" w:hanging="720"/>
      </w:pPr>
      <w:r>
        <w:rPr>
          <w:rFonts w:eastAsia="Times New Roman"/>
          <w:color w:val="000000"/>
          <w:shd w:val="clear" w:color="auto" w:fill="FFFFFF"/>
        </w:rPr>
        <w:t>Rosenstock, L., &amp; Stout, N. (201</w:t>
      </w:r>
      <w:r w:rsidRPr="00300F24">
        <w:rPr>
          <w:rFonts w:eastAsia="Times New Roman"/>
          <w:color w:val="000000"/>
          <w:shd w:val="clear" w:color="auto" w:fill="FFFFFF"/>
        </w:rPr>
        <w:t>8). Occupational Injury Risk Assessment: Perspective and Introduction. </w:t>
      </w:r>
      <w:r w:rsidRPr="00300F24">
        <w:rPr>
          <w:rFonts w:eastAsia="Times New Roman"/>
          <w:i/>
          <w:iCs/>
          <w:color w:val="000000"/>
          <w:shd w:val="clear" w:color="auto" w:fill="FFFFFF"/>
        </w:rPr>
        <w:t>Human And Ecological Risk Assessment: An International Journal</w:t>
      </w:r>
      <w:r w:rsidRPr="00300F24">
        <w:rPr>
          <w:rFonts w:eastAsia="Times New Roman"/>
          <w:color w:val="000000"/>
          <w:shd w:val="clear" w:color="auto" w:fill="FFFFFF"/>
        </w:rPr>
        <w:t>, </w:t>
      </w:r>
      <w:r w:rsidRPr="00300F24">
        <w:rPr>
          <w:rFonts w:eastAsia="Times New Roman"/>
          <w:i/>
          <w:iCs/>
          <w:color w:val="000000"/>
          <w:shd w:val="clear" w:color="auto" w:fill="FFFFFF"/>
        </w:rPr>
        <w:t>4</w:t>
      </w:r>
      <w:r w:rsidRPr="00300F24">
        <w:rPr>
          <w:rFonts w:eastAsia="Times New Roman"/>
          <w:color w:val="000000"/>
          <w:shd w:val="clear" w:color="auto" w:fill="FFFFFF"/>
        </w:rPr>
        <w:t>(6), 1255-1257. doi: 10.1080/10807039891284622</w:t>
      </w:r>
    </w:p>
    <w:p w:rsidR="003711BC" w:rsidRPr="00290A0C" w:rsidRDefault="003711BC" w:rsidP="003711BC"/>
    <w:p w:rsidR="00B20C0E" w:rsidRPr="00B20C0E" w:rsidRDefault="00B20C0E" w:rsidP="003711BC">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284" w:rsidRDefault="00C75284">
      <w:pPr>
        <w:spacing w:after="0" w:line="240" w:lineRule="auto"/>
      </w:pPr>
      <w:r>
        <w:separator/>
      </w:r>
    </w:p>
  </w:endnote>
  <w:endnote w:type="continuationSeparator" w:id="1">
    <w:p w:rsidR="00C75284" w:rsidRDefault="00C752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284" w:rsidRDefault="00C75284">
      <w:pPr>
        <w:spacing w:after="0" w:line="240" w:lineRule="auto"/>
      </w:pPr>
      <w:r>
        <w:separator/>
      </w:r>
    </w:p>
  </w:footnote>
  <w:footnote w:type="continuationSeparator" w:id="1">
    <w:p w:rsidR="00C75284" w:rsidRDefault="00C752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3711BC" w:rsidP="00B20C0E">
        <w:r>
          <w:t>RISK WORKSHOPS</w:t>
        </w:r>
        <w:r>
          <w:tab/>
        </w:r>
        <w:r>
          <w:tab/>
        </w:r>
        <w:r w:rsidR="00B20C0E">
          <w:tab/>
        </w:r>
        <w:r w:rsidR="00B20C0E">
          <w:tab/>
        </w:r>
        <w:r w:rsidR="00B20C0E">
          <w:tab/>
        </w:r>
        <w:r w:rsidR="00B20C0E">
          <w:tab/>
        </w:r>
        <w:r w:rsidR="00B20C0E">
          <w:tab/>
        </w:r>
        <w:r w:rsidR="0007681D">
          <w:tab/>
        </w:r>
        <w:r w:rsidR="0007681D">
          <w:tab/>
        </w:r>
        <w:r w:rsidR="004F430B">
          <w:tab/>
        </w:r>
        <w:r w:rsidR="00612975">
          <w:fldChar w:fldCharType="begin"/>
        </w:r>
        <w:r w:rsidR="00532362">
          <w:instrText xml:space="preserve"> PAGE   \* MERGEFORMAT </w:instrText>
        </w:r>
        <w:r w:rsidR="00612975">
          <w:fldChar w:fldCharType="separate"/>
        </w:r>
        <w:r w:rsidR="00F3444B">
          <w:rPr>
            <w:noProof/>
          </w:rPr>
          <w:t>1</w:t>
        </w:r>
        <w:r w:rsidR="0061297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3711BC">
    <w:r>
      <w:t>Running head:</w:t>
    </w:r>
    <w:r w:rsidR="007C7DEC">
      <w:t xml:space="preserve"> </w:t>
    </w:r>
    <w:r w:rsidR="003711BC">
      <w:t>RISK WORKSHOPS</w:t>
    </w:r>
    <w:r w:rsidR="00B20C0E">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2FFB"/>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11BC"/>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2B9F"/>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12975"/>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C7DEC"/>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11BE9"/>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75284"/>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3444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2019-06-14T00:50:00Z</dcterms:created>
  <dcterms:modified xsi:type="dcterms:W3CDTF">2019-06-14T00:54:00Z</dcterms:modified>
</cp:coreProperties>
</file>